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《创新方法导论》教材大纲​​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课程目标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通过系统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讲授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创新思维原理、经典方法工具及实践应用，培养学生突破思维定势的能力、解决复杂问题的实践能力以及团队协作素养，最终实现知识迁移、创意物化与创新人格塑造。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第一部分 理论篇：创新方法与思维的认知基础​​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第1章 创新的本质与分类​​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1.1 创新的定义与核心价值（从熊彼特到现代数字化创新）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1.2 创新的类型：渐进式创新、突破式创新、颠覆式创新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1.3 创新驱动发展的全球趋势（案例：硅谷模式、中国“双创”实践）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第2章 创新思维与认知突破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2.1 传统思维与创新思维的差异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2.2 思维工具：发散思维、逆向思维、类比思维、第一性原理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2.3 认知心理学与创新障碍（功能固着、思维定式及破解方法）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第3章 创新方法论的发展脉络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3.1 经典创新理论：TRIZ理论、六顶思考帽、SCAMPER法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3.2 现代创新框架：设计思维（Design Thinking）、精益创新（Lean Innovation）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3.3 中国特色创新方法：可拓创新法、物场分析等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3.4 创新方法论选择流程图（说明不同场景适配的工具）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sz w:val="28"/>
          <w:szCs w:val="28"/>
        </w:rPr>
        <w:t>第二部分 方法篇：经典与前沿创新工具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第4章 问题导向型创新方法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4.1 TRIZ理论核心：矛盾矩阵、40个发明原理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4.2 可拓学方法：基元模型与矛盾问题的拓展分析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4.3 5Why分析法与根因挖掘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第5章 用户驱动型创新方法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5.1 设计思维（Design Thinking）流程：共情、定义、构思、原型、测试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5.2 用户体验地图（User Journey Map）与痛点分析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5.3 开放式创新（Open Innovation）与用户共创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第6章 系统化创新方法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6.1 商业模式画布（Business Model Canvas）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6.2 系统思维与因果回路图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6.3 组合创新：技术、需求、价值链的交叉重构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6.4 蓝海战略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第7章 数字化时代的创新工具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7.1 大数据驱动的创新（A/B测试、数据挖掘）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7.2 人工智能辅助创新（生成式AI、自动优化算法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生成式AI的伦理边界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7.3 敏捷开发（Scrum、Sprint）与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设计冲刺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sz w:val="28"/>
          <w:szCs w:val="28"/>
        </w:rPr>
        <w:t>第三部分 应用篇：创新方法实践与案例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需结合创新方法来介绍应用实践）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第8章 行业场景化创新实践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8.1 制造业创新：智能制造与工艺优化案例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8.2 服务业创新：平台经济与共享模式案例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8.3 社会创新：碳中和、公益项目的创新路径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8.4 非对称赶超战略创新：新能源汽车与5G通信创新案例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8.5 逆向创新：亚马逊逆向工作法案例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第9章 创新项目管理与团队协作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9.1 创新项目的生命周期管理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9.2 跨职能团队构建与创新文化塑造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9.3 创新风险管理与知识产权保护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9.4 常用项目管理软件（Jira、Trello、SlackTeams）的应用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第10章 创新成果转化与商业化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10.1 最小可行产品（MVP）设计与验证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10.2 技术商业化路径：孵化器、加速器、风投对接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10.3 创新价值评估：经济收益与社会效益平衡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sz w:val="28"/>
          <w:szCs w:val="28"/>
        </w:rPr>
        <w:t>第四部分 拓展篇：未来创新的挑战与趋势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第11章 前沿创新方向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11.1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创新方法演变趋势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11.2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可持续创新（绿色技术、循环经济）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11.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生物启发式创新（仿生学、合成生物学）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11.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AI大模型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的创新机遇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11.5 跨学科交叉创新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11.6 量子计算对创新方法的影响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楷体" w:hAnsi="楷体" w:eastAsia="楷体" w:cs="楷体"/>
          <w:b/>
          <w:bCs/>
          <w:sz w:val="28"/>
          <w:szCs w:val="28"/>
        </w:rPr>
        <w:t>第12章 全球化视野下的创新生态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12.1 国际创新生态系统比较（硅谷、以色列、粤港澳大湾区）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12.2 创新政策与制度设计（政府角色、产学研协同）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12.3 创新伦理与社会责任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​​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gxMzRmN2M0ZDBmNzkxNGM1NzNiNTNhNzRjYTUifQ=="/>
    <w:docVar w:name="KSO_WPS_MARK_KEY" w:val="573f81b2-8949-40d9-9506-0ee6d99ee2ad"/>
  </w:docVars>
  <w:rsids>
    <w:rsidRoot w:val="2BDF6559"/>
    <w:rsid w:val="00974277"/>
    <w:rsid w:val="02E378DB"/>
    <w:rsid w:val="06E8096F"/>
    <w:rsid w:val="107E3B47"/>
    <w:rsid w:val="15523AB7"/>
    <w:rsid w:val="2BDF6559"/>
    <w:rsid w:val="367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1147</Words>
  <Characters>1393</Characters>
  <Lines>0</Lines>
  <Paragraphs>0</Paragraphs>
  <TotalTime>73</TotalTime>
  <ScaleCrop>false</ScaleCrop>
  <LinksUpToDate>false</LinksUpToDate>
  <CharactersWithSpaces>1462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2025-04-16T01:39:00Z</dcterms:created>
  <dc:creator>行云流水</dc:creator>
  <cp:lastModifiedBy>行云流水</cp:lastModifiedBy>
  <dcterms:modified xsi:type="dcterms:W3CDTF">2025-07-23T07:12:06Z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EB1F917242C9443FB87CD4A1AE6EC3A8</vt:lpwstr>
  </property>
</Properties>
</file>